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C5F" w:rsidRDefault="00CE2C5F" w:rsidP="00CE2C5F">
      <w:pPr>
        <w:spacing w:line="360" w:lineRule="auto"/>
        <w:jc w:val="both"/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</w:pPr>
      <w:r w:rsidRPr="00E91AB9"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 wp14:anchorId="4B840A53" wp14:editId="238CFCED">
            <wp:extent cx="5274310" cy="152908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C5F" w:rsidRPr="00385BF2" w:rsidRDefault="00CE2C5F" w:rsidP="00CE2C5F">
      <w:pPr>
        <w:tabs>
          <w:tab w:val="left" w:pos="2880"/>
        </w:tabs>
        <w:spacing w:line="360" w:lineRule="auto"/>
        <w:jc w:val="both"/>
        <w:rPr>
          <w:rFonts w:asciiTheme="majorBidi" w:hAnsiTheme="majorBidi" w:cstheme="majorBidi"/>
        </w:rPr>
      </w:pPr>
      <w:r w:rsidRPr="00385BF2">
        <w:rPr>
          <w:rFonts w:asciiTheme="majorBidi" w:hAnsiTheme="majorBidi" w:cstheme="majorBidi"/>
        </w:rPr>
        <w:t>Fig. (1) Three patients that tested positive for COVID-19.</w:t>
      </w:r>
      <w:r>
        <w:rPr>
          <w:rFonts w:asciiTheme="majorBidi" w:hAnsiTheme="majorBidi" w:cstheme="majorBidi"/>
        </w:rPr>
        <w:t xml:space="preserve"> </w:t>
      </w:r>
      <w:r w:rsidRPr="00275143">
        <w:rPr>
          <w:rFonts w:asciiTheme="majorBidi" w:hAnsiTheme="majorBidi" w:cstheme="majorBidi"/>
        </w:rPr>
        <w:t>(A)</w:t>
      </w:r>
      <w:r w:rsidRPr="00B31CA9">
        <w:rPr>
          <w:rFonts w:asciiTheme="majorBidi" w:hAnsiTheme="majorBidi" w:cstheme="majorBidi"/>
          <w:color w:val="FF0000"/>
        </w:rPr>
        <w:t xml:space="preserve">  </w:t>
      </w:r>
      <w:r w:rsidRPr="00385BF2">
        <w:rPr>
          <w:rFonts w:asciiTheme="majorBidi" w:hAnsiTheme="majorBidi" w:cstheme="majorBidi"/>
        </w:rPr>
        <w:t xml:space="preserve">A right </w:t>
      </w:r>
      <w:proofErr w:type="spellStart"/>
      <w:r w:rsidRPr="00385BF2">
        <w:rPr>
          <w:rFonts w:asciiTheme="majorBidi" w:hAnsiTheme="majorBidi" w:cstheme="majorBidi"/>
        </w:rPr>
        <w:t>perihilar</w:t>
      </w:r>
      <w:proofErr w:type="spellEnd"/>
      <w:r w:rsidRPr="00385BF2">
        <w:rPr>
          <w:rFonts w:asciiTheme="majorBidi" w:hAnsiTheme="majorBidi" w:cstheme="majorBidi"/>
        </w:rPr>
        <w:t xml:space="preserve"> air space consolidation opacity extending to the right </w:t>
      </w:r>
      <w:proofErr w:type="spellStart"/>
      <w:r w:rsidRPr="00385BF2">
        <w:rPr>
          <w:rFonts w:asciiTheme="majorBidi" w:hAnsiTheme="majorBidi" w:cstheme="majorBidi"/>
        </w:rPr>
        <w:t>paracardial</w:t>
      </w:r>
      <w:proofErr w:type="spellEnd"/>
      <w:r w:rsidRPr="00385BF2">
        <w:rPr>
          <w:rFonts w:asciiTheme="majorBidi" w:hAnsiTheme="majorBidi" w:cstheme="majorBidi"/>
        </w:rPr>
        <w:t xml:space="preserve"> region was seen on a chest X-ray (long arrows). Another left lower zonal air space consolidation opacity was seen (short arrow); the severity score for the right lung was 2 and the severity score for the left lung was 1, resulting in a total severity score (TSS) of 3.</w:t>
      </w:r>
    </w:p>
    <w:p w:rsidR="00CE2C5F" w:rsidRPr="00385BF2" w:rsidRDefault="00CE2C5F" w:rsidP="00CE2C5F">
      <w:pPr>
        <w:tabs>
          <w:tab w:val="left" w:pos="2880"/>
        </w:tabs>
        <w:spacing w:line="360" w:lineRule="auto"/>
        <w:jc w:val="both"/>
        <w:rPr>
          <w:rFonts w:asciiTheme="majorBidi" w:hAnsiTheme="majorBidi" w:cstheme="majorBidi"/>
        </w:rPr>
      </w:pPr>
      <w:r w:rsidRPr="00275143">
        <w:rPr>
          <w:rFonts w:asciiTheme="majorBidi" w:hAnsiTheme="majorBidi" w:cstheme="majorBidi"/>
        </w:rPr>
        <w:t>(B)</w:t>
      </w:r>
      <w:r>
        <w:rPr>
          <w:rFonts w:asciiTheme="majorBidi" w:hAnsiTheme="majorBidi" w:cstheme="majorBidi"/>
        </w:rPr>
        <w:t xml:space="preserve"> C</w:t>
      </w:r>
      <w:r w:rsidRPr="00385BF2">
        <w:rPr>
          <w:rFonts w:asciiTheme="majorBidi" w:hAnsiTheme="majorBidi" w:cstheme="majorBidi"/>
        </w:rPr>
        <w:t xml:space="preserve">hest X-ray revealed opacity in the left </w:t>
      </w:r>
      <w:proofErr w:type="spellStart"/>
      <w:r w:rsidRPr="00385BF2">
        <w:rPr>
          <w:rFonts w:asciiTheme="majorBidi" w:hAnsiTheme="majorBidi" w:cstheme="majorBidi"/>
        </w:rPr>
        <w:t>perihilar</w:t>
      </w:r>
      <w:proofErr w:type="spellEnd"/>
      <w:r w:rsidRPr="00385BF2">
        <w:rPr>
          <w:rFonts w:asciiTheme="majorBidi" w:hAnsiTheme="majorBidi" w:cstheme="majorBidi"/>
        </w:rPr>
        <w:t xml:space="preserve"> air space (arrow). There was a total severity score of one.</w:t>
      </w:r>
    </w:p>
    <w:p w:rsidR="00CE2C5F" w:rsidRPr="00275143" w:rsidRDefault="00CE2C5F" w:rsidP="00CE2C5F">
      <w:pPr>
        <w:tabs>
          <w:tab w:val="left" w:pos="2880"/>
        </w:tabs>
        <w:spacing w:line="360" w:lineRule="auto"/>
        <w:jc w:val="both"/>
        <w:rPr>
          <w:rFonts w:asciiTheme="majorBidi" w:hAnsiTheme="majorBidi" w:cstheme="majorBidi"/>
        </w:rPr>
      </w:pPr>
      <w:r w:rsidRPr="00275143">
        <w:rPr>
          <w:rFonts w:asciiTheme="majorBidi" w:hAnsiTheme="majorBidi" w:cstheme="majorBidi"/>
        </w:rPr>
        <w:t xml:space="preserve">(C) </w:t>
      </w:r>
      <w:r>
        <w:rPr>
          <w:rFonts w:asciiTheme="majorBidi" w:hAnsiTheme="majorBidi" w:cstheme="majorBidi"/>
        </w:rPr>
        <w:t>C</w:t>
      </w:r>
      <w:r w:rsidRPr="00385BF2">
        <w:rPr>
          <w:rFonts w:asciiTheme="majorBidi" w:hAnsiTheme="majorBidi" w:cstheme="majorBidi"/>
        </w:rPr>
        <w:t xml:space="preserve">hest X-ray revealed opacity in the right </w:t>
      </w:r>
      <w:proofErr w:type="spellStart"/>
      <w:r w:rsidRPr="00385BF2">
        <w:rPr>
          <w:rFonts w:asciiTheme="majorBidi" w:hAnsiTheme="majorBidi" w:cstheme="majorBidi"/>
        </w:rPr>
        <w:t>perihilar</w:t>
      </w:r>
      <w:proofErr w:type="spellEnd"/>
      <w:r w:rsidRPr="00385BF2">
        <w:rPr>
          <w:rFonts w:asciiTheme="majorBidi" w:hAnsiTheme="majorBidi" w:cstheme="majorBidi"/>
        </w:rPr>
        <w:t xml:space="preserve"> air area (short arrow). Other left lower zonal air space consolidation opacities with reticular thickening may be noted (long arrows); the severity score for each lung was 1, hence TSS was 2. </w:t>
      </w:r>
      <w:r>
        <w:rPr>
          <w:rFonts w:asciiTheme="majorBidi" w:hAnsiTheme="majorBidi" w:cstheme="majorBidi"/>
        </w:rPr>
        <w:t>A</w:t>
      </w:r>
      <w:r w:rsidRPr="00385BF2">
        <w:rPr>
          <w:rFonts w:asciiTheme="majorBidi" w:hAnsiTheme="majorBidi" w:cstheme="majorBidi"/>
        </w:rPr>
        <w:t>dapted from</w:t>
      </w:r>
      <w:r w:rsidRPr="007D7702">
        <w:rPr>
          <w:rFonts w:asciiTheme="majorBidi" w:hAnsiTheme="majorBidi" w:cstheme="majorBidi"/>
          <w:color w:val="FF0000"/>
        </w:rPr>
        <w:t xml:space="preserve"> </w:t>
      </w:r>
      <w:proofErr w:type="spellStart"/>
      <w:r w:rsidRPr="00275143">
        <w:rPr>
          <w:rFonts w:asciiTheme="majorBidi" w:hAnsiTheme="majorBidi" w:cstheme="majorBidi"/>
        </w:rPr>
        <w:t>Yasin</w:t>
      </w:r>
      <w:proofErr w:type="spellEnd"/>
      <w:r w:rsidRPr="00275143">
        <w:rPr>
          <w:rFonts w:asciiTheme="majorBidi" w:hAnsiTheme="majorBidi" w:cstheme="majorBidi"/>
        </w:rPr>
        <w:t xml:space="preserve"> and Gouda (11)</w:t>
      </w:r>
    </w:p>
    <w:p w:rsidR="00CE2C5F" w:rsidRDefault="00CE2C5F" w:rsidP="00CE2C5F">
      <w:pPr>
        <w:tabs>
          <w:tab w:val="left" w:pos="2880"/>
        </w:tabs>
        <w:spacing w:line="360" w:lineRule="auto"/>
        <w:jc w:val="both"/>
        <w:rPr>
          <w:rFonts w:asciiTheme="majorBidi" w:hAnsiTheme="majorBidi" w:cstheme="majorBidi"/>
        </w:rPr>
      </w:pPr>
    </w:p>
    <w:p w:rsidR="00CE2C5F" w:rsidRDefault="00CE2C5F" w:rsidP="00CE2C5F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E2C5F" w:rsidRDefault="00CE2C5F" w:rsidP="00CE2C5F">
      <w:pPr>
        <w:spacing w:line="360" w:lineRule="auto"/>
        <w:jc w:val="both"/>
      </w:pPr>
      <w:r>
        <w:t xml:space="preserve">                                   </w:t>
      </w:r>
      <w:r w:rsidRPr="00083178">
        <w:rPr>
          <w:noProof/>
        </w:rPr>
        <w:drawing>
          <wp:inline distT="0" distB="0" distL="0" distR="0" wp14:anchorId="4CAB91A9" wp14:editId="6CFFE240">
            <wp:extent cx="2976245" cy="26573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15" cy="267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C5F" w:rsidRDefault="00CE2C5F" w:rsidP="00CE2C5F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083178">
        <w:rPr>
          <w:rFonts w:asciiTheme="majorBidi" w:hAnsiTheme="majorBidi" w:cstheme="majorBidi"/>
          <w:sz w:val="20"/>
          <w:szCs w:val="20"/>
        </w:rPr>
        <w:t>Fig. (2):</w:t>
      </w:r>
      <w:r w:rsidRPr="00EA7E6A">
        <w:t xml:space="preserve"> </w:t>
      </w:r>
      <w:r w:rsidRPr="00EA7E6A">
        <w:rPr>
          <w:rFonts w:asciiTheme="majorBidi" w:hAnsiTheme="majorBidi" w:cstheme="majorBidi"/>
          <w:sz w:val="20"/>
          <w:szCs w:val="20"/>
        </w:rPr>
        <w:t xml:space="preserve">CT scan of </w:t>
      </w:r>
      <w:r w:rsidRPr="00D8288B">
        <w:rPr>
          <w:rFonts w:asciiTheme="majorBidi" w:hAnsiTheme="majorBidi" w:cstheme="majorBidi"/>
          <w:strike/>
          <w:sz w:val="20"/>
          <w:szCs w:val="20"/>
        </w:rPr>
        <w:t>the axis of</w:t>
      </w:r>
      <w:r w:rsidRPr="00EA7E6A">
        <w:rPr>
          <w:rFonts w:asciiTheme="majorBidi" w:hAnsiTheme="majorBidi" w:cstheme="majorBidi"/>
          <w:sz w:val="20"/>
          <w:szCs w:val="20"/>
        </w:rPr>
        <w:t xml:space="preserve"> the chest with a lung window. A COVID-19 patient had multiple ground-glass pulmonary opacities. The majority of the lesions are </w:t>
      </w:r>
      <w:proofErr w:type="spellStart"/>
      <w:r w:rsidRPr="00EA7E6A">
        <w:rPr>
          <w:rFonts w:asciiTheme="majorBidi" w:hAnsiTheme="majorBidi" w:cstheme="majorBidi"/>
          <w:sz w:val="20"/>
          <w:szCs w:val="20"/>
        </w:rPr>
        <w:t>subpleural</w:t>
      </w:r>
      <w:proofErr w:type="spellEnd"/>
      <w:r w:rsidRPr="00EA7E6A">
        <w:rPr>
          <w:rFonts w:asciiTheme="majorBidi" w:hAnsiTheme="majorBidi" w:cstheme="majorBidi"/>
          <w:sz w:val="20"/>
          <w:szCs w:val="20"/>
        </w:rPr>
        <w:t xml:space="preserve"> (black arrows), although there is one central lesion (white arrow). </w:t>
      </w:r>
      <w:r>
        <w:rPr>
          <w:rFonts w:asciiTheme="majorBidi" w:hAnsiTheme="majorBidi" w:cstheme="majorBidi"/>
          <w:sz w:val="20"/>
          <w:szCs w:val="20"/>
        </w:rPr>
        <w:t>A</w:t>
      </w:r>
      <w:r w:rsidRPr="00EA7E6A">
        <w:rPr>
          <w:rFonts w:asciiTheme="majorBidi" w:hAnsiTheme="majorBidi" w:cstheme="majorBidi"/>
          <w:sz w:val="20"/>
          <w:szCs w:val="20"/>
        </w:rPr>
        <w:t>dapted from</w:t>
      </w:r>
      <w:r w:rsidRPr="00274A98">
        <w:rPr>
          <w:rFonts w:asciiTheme="majorBidi" w:hAnsiTheme="majorBidi" w:cstheme="majorBidi"/>
          <w:color w:val="FF0000"/>
        </w:rPr>
        <w:t xml:space="preserve"> </w:t>
      </w:r>
      <w:proofErr w:type="spellStart"/>
      <w:r w:rsidRPr="00275143">
        <w:rPr>
          <w:rFonts w:asciiTheme="majorBidi" w:hAnsiTheme="majorBidi" w:cstheme="majorBidi"/>
        </w:rPr>
        <w:t>Sotoudeh</w:t>
      </w:r>
      <w:proofErr w:type="spellEnd"/>
      <w:r w:rsidRPr="00275143">
        <w:rPr>
          <w:rFonts w:asciiTheme="majorBidi" w:hAnsiTheme="majorBidi" w:cstheme="majorBidi"/>
        </w:rPr>
        <w:t xml:space="preserve"> and </w:t>
      </w:r>
      <w:proofErr w:type="spellStart"/>
      <w:r w:rsidRPr="00275143">
        <w:rPr>
          <w:rFonts w:asciiTheme="majorBidi" w:hAnsiTheme="majorBidi" w:cstheme="majorBidi"/>
        </w:rPr>
        <w:t>Git</w:t>
      </w:r>
      <w:proofErr w:type="spellEnd"/>
      <w:r w:rsidRPr="00275143">
        <w:rPr>
          <w:rFonts w:asciiTheme="majorBidi" w:hAnsiTheme="majorBidi" w:cstheme="majorBidi"/>
          <w:sz w:val="24"/>
          <w:szCs w:val="24"/>
        </w:rPr>
        <w:t xml:space="preserve"> (</w:t>
      </w:r>
      <w:r w:rsidRPr="0071785F">
        <w:rPr>
          <w:rFonts w:asciiTheme="majorBidi" w:hAnsiTheme="majorBidi" w:cstheme="majorBidi"/>
          <w:sz w:val="24"/>
          <w:szCs w:val="24"/>
        </w:rPr>
        <w:t>22)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CE2C5F" w:rsidRDefault="00CE2C5F" w:rsidP="00CE2C5F">
      <w:pPr>
        <w:tabs>
          <w:tab w:val="left" w:pos="960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ab/>
      </w:r>
    </w:p>
    <w:p w:rsidR="00CE2C5F" w:rsidRDefault="00CE2C5F" w:rsidP="00CE2C5F">
      <w:pPr>
        <w:tabs>
          <w:tab w:val="left" w:pos="960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            </w:t>
      </w:r>
      <w:r w:rsidRPr="00083178">
        <w:rPr>
          <w:rFonts w:asciiTheme="majorBidi" w:hAnsiTheme="majorBidi" w:cstheme="majorBidi"/>
          <w:noProof/>
          <w:color w:val="FF0000"/>
        </w:rPr>
        <w:drawing>
          <wp:inline distT="0" distB="0" distL="0" distR="0" wp14:anchorId="2F9793A2" wp14:editId="6507745B">
            <wp:extent cx="2733675" cy="2169968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58" cy="217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C5F" w:rsidRDefault="00CE2C5F" w:rsidP="00CE2C5F">
      <w:pPr>
        <w:tabs>
          <w:tab w:val="left" w:pos="960"/>
        </w:tabs>
        <w:spacing w:line="360" w:lineRule="auto"/>
        <w:jc w:val="both"/>
        <w:rPr>
          <w:rFonts w:asciiTheme="majorBidi" w:hAnsiTheme="majorBidi" w:cstheme="majorBidi"/>
          <w:sz w:val="20"/>
          <w:szCs w:val="20"/>
        </w:rPr>
      </w:pPr>
      <w:r w:rsidRPr="002653D2">
        <w:rPr>
          <w:rFonts w:asciiTheme="majorBidi" w:hAnsiTheme="majorBidi" w:cstheme="majorBidi"/>
          <w:sz w:val="20"/>
          <w:szCs w:val="20"/>
        </w:rPr>
        <w:t>Fi</w:t>
      </w:r>
      <w:r>
        <w:rPr>
          <w:rFonts w:asciiTheme="majorBidi" w:hAnsiTheme="majorBidi" w:cstheme="majorBidi"/>
          <w:sz w:val="20"/>
          <w:szCs w:val="20"/>
        </w:rPr>
        <w:t>g</w:t>
      </w:r>
      <w:r w:rsidRPr="002653D2">
        <w:rPr>
          <w:rFonts w:asciiTheme="majorBidi" w:hAnsiTheme="majorBidi" w:cstheme="majorBidi"/>
          <w:sz w:val="20"/>
          <w:szCs w:val="20"/>
        </w:rPr>
        <w:t>. (3)</w:t>
      </w:r>
      <w:r>
        <w:rPr>
          <w:rFonts w:asciiTheme="majorBidi" w:hAnsiTheme="majorBidi" w:cstheme="majorBidi"/>
          <w:sz w:val="20"/>
          <w:szCs w:val="20"/>
        </w:rPr>
        <w:t>:</w:t>
      </w:r>
      <w:r w:rsidRPr="00857C37">
        <w:t xml:space="preserve"> </w:t>
      </w:r>
      <w:r w:rsidRPr="00857C37">
        <w:rPr>
          <w:rFonts w:asciiTheme="majorBidi" w:hAnsiTheme="majorBidi" w:cstheme="majorBidi"/>
          <w:sz w:val="20"/>
          <w:szCs w:val="20"/>
        </w:rPr>
        <w:t xml:space="preserve">CT scan of </w:t>
      </w:r>
      <w:r w:rsidRPr="003A083F">
        <w:rPr>
          <w:rFonts w:asciiTheme="majorBidi" w:hAnsiTheme="majorBidi" w:cstheme="majorBidi"/>
          <w:strike/>
          <w:sz w:val="20"/>
          <w:szCs w:val="20"/>
        </w:rPr>
        <w:t>the axis of</w:t>
      </w:r>
      <w:r w:rsidRPr="00857C37">
        <w:rPr>
          <w:rFonts w:asciiTheme="majorBidi" w:hAnsiTheme="majorBidi" w:cstheme="majorBidi"/>
          <w:sz w:val="20"/>
          <w:szCs w:val="20"/>
        </w:rPr>
        <w:t xml:space="preserve"> the chest. A single patchy </w:t>
      </w:r>
      <w:proofErr w:type="spellStart"/>
      <w:r w:rsidRPr="00857C37">
        <w:rPr>
          <w:rFonts w:asciiTheme="majorBidi" w:hAnsiTheme="majorBidi" w:cstheme="majorBidi"/>
          <w:sz w:val="20"/>
          <w:szCs w:val="20"/>
        </w:rPr>
        <w:t>subpleural</w:t>
      </w:r>
      <w:proofErr w:type="spellEnd"/>
      <w:r w:rsidRPr="00857C37">
        <w:rPr>
          <w:rFonts w:asciiTheme="majorBidi" w:hAnsiTheme="majorBidi" w:cstheme="majorBidi"/>
          <w:sz w:val="20"/>
          <w:szCs w:val="20"/>
        </w:rPr>
        <w:t xml:space="preserve"> consolidation obscures the vascular structures in the left lung. </w:t>
      </w:r>
      <w:r>
        <w:rPr>
          <w:rFonts w:asciiTheme="majorBidi" w:hAnsiTheme="majorBidi" w:cstheme="majorBidi"/>
          <w:sz w:val="20"/>
          <w:szCs w:val="20"/>
        </w:rPr>
        <w:t>A</w:t>
      </w:r>
      <w:r w:rsidRPr="00857C37">
        <w:rPr>
          <w:rFonts w:asciiTheme="majorBidi" w:hAnsiTheme="majorBidi" w:cstheme="majorBidi"/>
          <w:sz w:val="20"/>
          <w:szCs w:val="20"/>
        </w:rPr>
        <w:t>dapted from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bookmarkStart w:id="0" w:name="_Hlk99915540"/>
      <w:proofErr w:type="spellStart"/>
      <w:r w:rsidRPr="00275143">
        <w:rPr>
          <w:rFonts w:asciiTheme="majorBidi" w:hAnsiTheme="majorBidi" w:cstheme="majorBidi"/>
        </w:rPr>
        <w:t>Sotoudeh</w:t>
      </w:r>
      <w:proofErr w:type="spellEnd"/>
      <w:r w:rsidRPr="00275143">
        <w:rPr>
          <w:rFonts w:asciiTheme="majorBidi" w:hAnsiTheme="majorBidi" w:cstheme="majorBidi"/>
        </w:rPr>
        <w:t xml:space="preserve"> and </w:t>
      </w:r>
      <w:proofErr w:type="spellStart"/>
      <w:r w:rsidRPr="00275143">
        <w:rPr>
          <w:rFonts w:asciiTheme="majorBidi" w:hAnsiTheme="majorBidi" w:cstheme="majorBidi"/>
        </w:rPr>
        <w:t>Git</w:t>
      </w:r>
      <w:proofErr w:type="spellEnd"/>
      <w:r w:rsidRPr="00275143">
        <w:rPr>
          <w:rFonts w:asciiTheme="majorBidi" w:hAnsiTheme="majorBidi" w:cstheme="majorBidi"/>
          <w:sz w:val="24"/>
          <w:szCs w:val="24"/>
        </w:rPr>
        <w:t xml:space="preserve"> </w:t>
      </w:r>
      <w:bookmarkEnd w:id="0"/>
      <w:r w:rsidRPr="0071785F">
        <w:rPr>
          <w:rFonts w:asciiTheme="majorBidi" w:hAnsiTheme="majorBidi" w:cstheme="majorBidi"/>
          <w:sz w:val="24"/>
          <w:szCs w:val="24"/>
        </w:rPr>
        <w:t>(2</w:t>
      </w:r>
      <w:r>
        <w:rPr>
          <w:rFonts w:asciiTheme="majorBidi" w:hAnsiTheme="majorBidi" w:cstheme="majorBidi"/>
          <w:sz w:val="24"/>
          <w:szCs w:val="24"/>
        </w:rPr>
        <w:t>2</w:t>
      </w:r>
      <w:r w:rsidRPr="0071785F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CE2C5F" w:rsidRDefault="00CE2C5F" w:rsidP="00CE2C5F">
      <w:pPr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C619A9">
        <w:rPr>
          <w:rFonts w:asciiTheme="majorBidi" w:hAnsiTheme="majorBidi" w:cstheme="majorBidi"/>
          <w:noProof/>
        </w:rPr>
        <w:drawing>
          <wp:inline distT="0" distB="0" distL="0" distR="0" wp14:anchorId="27DA7C26" wp14:editId="03D973FB">
            <wp:extent cx="5274310" cy="394843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C5F" w:rsidRPr="00275143" w:rsidRDefault="00CE2C5F" w:rsidP="00CE2C5F">
      <w:pPr>
        <w:ind w:firstLine="720"/>
        <w:jc w:val="both"/>
        <w:rPr>
          <w:rFonts w:asciiTheme="majorBidi" w:hAnsiTheme="majorBidi" w:cstheme="majorBidi"/>
        </w:rPr>
      </w:pPr>
      <w:r w:rsidRPr="007B09F4">
        <w:rPr>
          <w:rFonts w:asciiTheme="majorBidi" w:hAnsiTheme="majorBidi" w:cstheme="majorBidi"/>
        </w:rPr>
        <w:t xml:space="preserve">Figure 4 shows the results of a lung ultrasonography in a patient who has been diagnosed with </w:t>
      </w:r>
      <w:r w:rsidRPr="00F42D61">
        <w:rPr>
          <w:rFonts w:asciiTheme="majorBidi" w:hAnsiTheme="majorBidi" w:cstheme="majorBidi"/>
          <w:strike/>
        </w:rPr>
        <w:t>n</w:t>
      </w:r>
      <w:r w:rsidRPr="007B09F4">
        <w:rPr>
          <w:rFonts w:asciiTheme="majorBidi" w:hAnsiTheme="majorBidi" w:cstheme="majorBidi"/>
        </w:rPr>
        <w:t xml:space="preserve">CoV-19 infection. Pleural line irregularities (white boxes, figures A-C-E-F), thick irregular vertical artefacts (white arrows, figures A-B-C-D-E), </w:t>
      </w:r>
      <w:proofErr w:type="spellStart"/>
      <w:r w:rsidRPr="007B09F4">
        <w:rPr>
          <w:rFonts w:asciiTheme="majorBidi" w:hAnsiTheme="majorBidi" w:cstheme="majorBidi"/>
        </w:rPr>
        <w:t>subpleural</w:t>
      </w:r>
      <w:proofErr w:type="spellEnd"/>
      <w:r w:rsidRPr="007B09F4">
        <w:rPr>
          <w:rFonts w:asciiTheme="majorBidi" w:hAnsiTheme="majorBidi" w:cstheme="majorBidi"/>
        </w:rPr>
        <w:t xml:space="preserve"> consolidations (white arrowheads, figures B-D), and regions of white lung are all seen on lung ultrasonography (red arrow, figure F). </w:t>
      </w:r>
      <w:r w:rsidRPr="00275143">
        <w:rPr>
          <w:rFonts w:asciiTheme="majorBidi" w:hAnsiTheme="majorBidi" w:cstheme="majorBidi"/>
          <w:sz w:val="20"/>
          <w:szCs w:val="20"/>
        </w:rPr>
        <w:t xml:space="preserve">Adapted from </w:t>
      </w:r>
      <w:proofErr w:type="spellStart"/>
      <w:r w:rsidRPr="00275143">
        <w:rPr>
          <w:rFonts w:asciiTheme="majorBidi" w:hAnsiTheme="majorBidi" w:cstheme="majorBidi"/>
        </w:rPr>
        <w:t>Buonsenso</w:t>
      </w:r>
      <w:proofErr w:type="spellEnd"/>
      <w:r w:rsidRPr="00275143">
        <w:rPr>
          <w:rFonts w:asciiTheme="majorBidi" w:hAnsiTheme="majorBidi" w:cstheme="majorBidi"/>
          <w:sz w:val="20"/>
          <w:szCs w:val="20"/>
        </w:rPr>
        <w:t xml:space="preserve"> et al </w:t>
      </w:r>
      <w:r w:rsidRPr="00275143">
        <w:rPr>
          <w:rFonts w:asciiTheme="majorBidi" w:hAnsiTheme="majorBidi" w:cstheme="majorBidi"/>
        </w:rPr>
        <w:t>(35)</w:t>
      </w:r>
    </w:p>
    <w:p w:rsidR="00CE2C5F" w:rsidRDefault="00CE2C5F" w:rsidP="00CE2C5F">
      <w:pPr>
        <w:spacing w:line="360" w:lineRule="auto"/>
        <w:ind w:firstLine="720"/>
        <w:jc w:val="both"/>
        <w:rPr>
          <w:rFonts w:asciiTheme="majorBidi" w:hAnsiTheme="majorBidi" w:cstheme="majorBidi"/>
        </w:rPr>
      </w:pPr>
      <w:r w:rsidRPr="007B09F4">
        <w:rPr>
          <w:rFonts w:asciiTheme="majorBidi" w:hAnsiTheme="majorBidi" w:cstheme="majorBidi"/>
        </w:rPr>
        <w:t xml:space="preserve">Despite being a sensitive tool for detecting progressive pulmonary involvement, there is significant overlap between the typical LUS findings seen in COVID-19 and the typical LUS </w:t>
      </w:r>
      <w:r w:rsidRPr="007B09F4">
        <w:rPr>
          <w:rFonts w:asciiTheme="majorBidi" w:hAnsiTheme="majorBidi" w:cstheme="majorBidi"/>
        </w:rPr>
        <w:lastRenderedPageBreak/>
        <w:t xml:space="preserve">patterns of important differential diagnoses such pulmonary </w:t>
      </w:r>
      <w:proofErr w:type="spellStart"/>
      <w:r w:rsidRPr="007B09F4">
        <w:rPr>
          <w:rFonts w:asciiTheme="majorBidi" w:hAnsiTheme="majorBidi" w:cstheme="majorBidi"/>
        </w:rPr>
        <w:t>oedema</w:t>
      </w:r>
      <w:proofErr w:type="spellEnd"/>
      <w:r w:rsidRPr="007B09F4">
        <w:rPr>
          <w:rFonts w:asciiTheme="majorBidi" w:hAnsiTheme="majorBidi" w:cstheme="majorBidi"/>
        </w:rPr>
        <w:t>, bacterial pneumonia, and pulmonary embolism. (36,37)</w:t>
      </w:r>
      <w:r>
        <w:rPr>
          <w:rFonts w:asciiTheme="majorBidi" w:hAnsiTheme="majorBidi" w:cstheme="majorBidi"/>
        </w:rPr>
        <w:t xml:space="preserve">. </w:t>
      </w:r>
      <w:r w:rsidRPr="007B09F4">
        <w:rPr>
          <w:rFonts w:asciiTheme="majorBidi" w:hAnsiTheme="majorBidi" w:cstheme="majorBidi"/>
        </w:rPr>
        <w:t xml:space="preserve">As a result, persistent LUS findings in COVID-19 patients should be carefully examined in conjunction with other clinical and laboratory markers. </w:t>
      </w:r>
      <w:r w:rsidRPr="004C0D4C">
        <w:rPr>
          <w:rFonts w:asciiTheme="majorBidi" w:hAnsiTheme="majorBidi" w:cstheme="majorBidi"/>
          <w:vertAlign w:val="superscript"/>
        </w:rPr>
        <w:t>(33).</w:t>
      </w:r>
    </w:p>
    <w:p w:rsidR="00CE2C5F" w:rsidRDefault="00CE2C5F" w:rsidP="00CE2C5F">
      <w:pPr>
        <w:spacing w:line="360" w:lineRule="auto"/>
        <w:ind w:firstLine="720"/>
        <w:jc w:val="both"/>
        <w:rPr>
          <w:rFonts w:asciiTheme="majorBidi" w:hAnsiTheme="majorBidi" w:cstheme="majorBidi"/>
        </w:rPr>
      </w:pPr>
      <w:r w:rsidRPr="007B09F4">
        <w:rPr>
          <w:rFonts w:asciiTheme="majorBidi" w:hAnsiTheme="majorBidi" w:cstheme="majorBidi"/>
        </w:rPr>
        <w:t xml:space="preserve">Because aerated lung inhibits ultrasound transmission, LUS cannot detect lesions deep within the lung; as a result, the abnormality must extend to the pleural surface in order to be noticed on an ultrasonography test. </w:t>
      </w:r>
      <w:r w:rsidRPr="004C0D4C">
        <w:rPr>
          <w:rFonts w:asciiTheme="majorBidi" w:hAnsiTheme="majorBidi" w:cstheme="majorBidi"/>
          <w:vertAlign w:val="superscript"/>
        </w:rPr>
        <w:t>(38).</w:t>
      </w:r>
    </w:p>
    <w:p w:rsidR="00CE2C5F" w:rsidRDefault="00CE2C5F" w:rsidP="00CE2C5F">
      <w:pPr>
        <w:spacing w:line="360" w:lineRule="auto"/>
        <w:ind w:firstLine="720"/>
        <w:jc w:val="both"/>
        <w:rPr>
          <w:rFonts w:asciiTheme="majorBidi" w:hAnsiTheme="majorBidi" w:cstheme="majorBidi"/>
        </w:rPr>
      </w:pPr>
    </w:p>
    <w:p w:rsidR="00CD3676" w:rsidRDefault="00CD3676">
      <w:bookmarkStart w:id="1" w:name="_GoBack"/>
      <w:bookmarkEnd w:id="1"/>
    </w:p>
    <w:sectPr w:rsidR="00CD3676" w:rsidSect="00C50AE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C5F"/>
    <w:rsid w:val="00C50AEE"/>
    <w:rsid w:val="00CD3676"/>
    <w:rsid w:val="00CE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F6F65A7-E9A4-4B79-8078-260D132FB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2C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</cp:revision>
  <dcterms:created xsi:type="dcterms:W3CDTF">2022-09-17T08:13:00Z</dcterms:created>
  <dcterms:modified xsi:type="dcterms:W3CDTF">2022-09-17T08:14:00Z</dcterms:modified>
</cp:coreProperties>
</file>